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DA94" w14:textId="188ABF83" w:rsidR="00991371" w:rsidRDefault="00443D35">
      <w:pPr>
        <w:jc w:val="right"/>
      </w:pPr>
      <w:r>
        <w:t>Warszawa, 1</w:t>
      </w:r>
      <w:r w:rsidR="00304966">
        <w:t>8</w:t>
      </w:r>
      <w:r>
        <w:t xml:space="preserve"> listopada 2021 r.</w:t>
      </w:r>
    </w:p>
    <w:p w14:paraId="67ED51E1" w14:textId="77777777" w:rsidR="00991371" w:rsidRDefault="00443D35">
      <w:pPr>
        <w:jc w:val="right"/>
      </w:pPr>
      <w:r>
        <w:t>Informacja prasowa</w:t>
      </w:r>
    </w:p>
    <w:p w14:paraId="26B5D9F3" w14:textId="0A54D94F" w:rsidR="002117DC" w:rsidRDefault="000A316B" w:rsidP="00211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Jak zwalczyć przestępczość finansową? </w:t>
      </w:r>
    </w:p>
    <w:p w14:paraId="166B1728" w14:textId="1B76DFB6" w:rsidR="00991371" w:rsidRDefault="00443D35" w:rsidP="002117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Przeciwdziałanie praniu pieniędzy</w:t>
      </w:r>
      <w:r w:rsidR="00463114">
        <w:rPr>
          <w:b/>
        </w:rPr>
        <w:t xml:space="preserve"> czy</w:t>
      </w:r>
      <w:r>
        <w:rPr>
          <w:b/>
        </w:rPr>
        <w:t xml:space="preserve"> </w:t>
      </w:r>
      <w:r w:rsidR="000A316B">
        <w:rPr>
          <w:b/>
        </w:rPr>
        <w:t xml:space="preserve">sztuczna inteligencja w służbie bezpieczeństwa finansowego </w:t>
      </w:r>
      <w:r w:rsidR="002117DC">
        <w:rPr>
          <w:b/>
        </w:rPr>
        <w:t>–</w:t>
      </w:r>
      <w:r>
        <w:rPr>
          <w:b/>
        </w:rPr>
        <w:t xml:space="preserve"> między innymi o tym </w:t>
      </w:r>
      <w:r w:rsidR="000A316B">
        <w:rPr>
          <w:b/>
        </w:rPr>
        <w:t xml:space="preserve">w perspektywie globalnej i polskiej </w:t>
      </w:r>
      <w:r>
        <w:rPr>
          <w:b/>
        </w:rPr>
        <w:t xml:space="preserve">będą </w:t>
      </w:r>
      <w:r w:rsidR="000A316B">
        <w:rPr>
          <w:b/>
        </w:rPr>
        <w:t>rozmawiać</w:t>
      </w:r>
      <w:r>
        <w:rPr>
          <w:b/>
        </w:rPr>
        <w:t xml:space="preserve"> eksperci i ekspertki podczas wydarzenia online </w:t>
      </w:r>
      <w:proofErr w:type="spellStart"/>
      <w:r>
        <w:rPr>
          <w:b/>
        </w:rPr>
        <w:t>Fight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FinCrime</w:t>
      </w:r>
      <w:proofErr w:type="spellEnd"/>
      <w:r>
        <w:rPr>
          <w:b/>
        </w:rPr>
        <w:t>. W czwartek 25 listopada</w:t>
      </w:r>
      <w:r w:rsidR="002117DC">
        <w:rPr>
          <w:b/>
        </w:rPr>
        <w:t xml:space="preserve"> w godz. 10</w:t>
      </w:r>
      <w:r w:rsidR="00463114">
        <w:rPr>
          <w:b/>
        </w:rPr>
        <w:t xml:space="preserve">.00 – </w:t>
      </w:r>
      <w:r w:rsidR="002117DC">
        <w:rPr>
          <w:b/>
        </w:rPr>
        <w:t>18.00</w:t>
      </w:r>
      <w:r>
        <w:rPr>
          <w:b/>
        </w:rPr>
        <w:t xml:space="preserve"> odbędą się cztery </w:t>
      </w:r>
      <w:proofErr w:type="spellStart"/>
      <w:r>
        <w:rPr>
          <w:b/>
        </w:rPr>
        <w:t>webinary</w:t>
      </w:r>
      <w:proofErr w:type="spellEnd"/>
      <w:r>
        <w:rPr>
          <w:b/>
        </w:rPr>
        <w:t xml:space="preserve"> dot. przeciwdziałania praniu pieniędzy oraz jeden quiz, którego zwycięzcy mają szansę przekazać wygraną na rzecz organizacji charytatywnej. Wstęp wolny. Rejestracja </w:t>
      </w:r>
      <w:r w:rsidR="00FE760B">
        <w:rPr>
          <w:b/>
        </w:rPr>
        <w:t xml:space="preserve">na quiz obowiązuje do 20 listopada, natomiast na </w:t>
      </w:r>
      <w:proofErr w:type="spellStart"/>
      <w:r w:rsidR="00FE760B">
        <w:rPr>
          <w:b/>
        </w:rPr>
        <w:t>webinary</w:t>
      </w:r>
      <w:proofErr w:type="spellEnd"/>
      <w:r w:rsidR="00FE760B">
        <w:rPr>
          <w:b/>
        </w:rPr>
        <w:t xml:space="preserve"> </w:t>
      </w:r>
      <w:r>
        <w:rPr>
          <w:b/>
        </w:rPr>
        <w:t xml:space="preserve">do 24 listopada. </w:t>
      </w:r>
    </w:p>
    <w:p w14:paraId="25641B05" w14:textId="7D9685A2" w:rsidR="00991371" w:rsidRDefault="004D0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W</w:t>
      </w:r>
      <w:r w:rsidR="00443D35">
        <w:rPr>
          <w:b/>
        </w:rPr>
        <w:t xml:space="preserve"> maju br. Polska znowelizowała ustawę dot. AML</w:t>
      </w:r>
      <w:r w:rsidR="002117DC">
        <w:rPr>
          <w:b/>
        </w:rPr>
        <w:t>,</w:t>
      </w:r>
      <w:r w:rsidR="00443D35">
        <w:rPr>
          <w:b/>
        </w:rPr>
        <w:t xml:space="preserve"> nakładając na nowe podmioty nakaz </w:t>
      </w:r>
      <w:r w:rsidR="0002046E">
        <w:rPr>
          <w:b/>
        </w:rPr>
        <w:t xml:space="preserve">wdrożenia procedur i kontroli </w:t>
      </w:r>
      <w:r w:rsidR="00443D35">
        <w:rPr>
          <w:b/>
        </w:rPr>
        <w:t>przeciwdziałania prani</w:t>
      </w:r>
      <w:r w:rsidR="002117DC">
        <w:rPr>
          <w:b/>
        </w:rPr>
        <w:t>u</w:t>
      </w:r>
      <w:r w:rsidR="00443D35">
        <w:rPr>
          <w:b/>
        </w:rPr>
        <w:t xml:space="preserve"> pieniędzy</w:t>
      </w:r>
      <w:r>
        <w:rPr>
          <w:b/>
        </w:rPr>
        <w:t>.</w:t>
      </w:r>
    </w:p>
    <w:p w14:paraId="0C6D5F38" w14:textId="0486F57A" w:rsidR="00991371" w:rsidRDefault="004D0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D</w:t>
      </w:r>
      <w:r w:rsidR="00443D35">
        <w:rPr>
          <w:b/>
        </w:rPr>
        <w:t>o tej pory obowiązek monitorowania prania pieniędzy miały głównie duże banki</w:t>
      </w:r>
      <w:r w:rsidR="0002046E">
        <w:rPr>
          <w:b/>
        </w:rPr>
        <w:t xml:space="preserve"> i firmy ubezpieczeniowe</w:t>
      </w:r>
      <w:r w:rsidR="00443D35">
        <w:rPr>
          <w:b/>
        </w:rPr>
        <w:t xml:space="preserve">, a od niedawna dotyczy to </w:t>
      </w:r>
      <w:r>
        <w:rPr>
          <w:b/>
        </w:rPr>
        <w:t xml:space="preserve">również mniejszych podmiotów </w:t>
      </w:r>
      <w:r w:rsidR="00443D35">
        <w:rPr>
          <w:b/>
        </w:rPr>
        <w:t>np. biur rachunkowych, które muszą uzupełnić swoją wiedzę w tym zakresie</w:t>
      </w:r>
      <w:r>
        <w:rPr>
          <w:b/>
        </w:rPr>
        <w:t>.</w:t>
      </w:r>
    </w:p>
    <w:p w14:paraId="5AEA96FF" w14:textId="21555B1E" w:rsidR="00991371" w:rsidRDefault="004D03C0" w:rsidP="0021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W</w:t>
      </w:r>
      <w:r w:rsidR="00443D35">
        <w:rPr>
          <w:b/>
        </w:rPr>
        <w:t xml:space="preserve">ydarzenie </w:t>
      </w:r>
      <w:proofErr w:type="spellStart"/>
      <w:r w:rsidR="00443D35">
        <w:rPr>
          <w:b/>
        </w:rPr>
        <w:t>Fight</w:t>
      </w:r>
      <w:proofErr w:type="spellEnd"/>
      <w:r w:rsidR="00443D35">
        <w:rPr>
          <w:b/>
        </w:rPr>
        <w:t xml:space="preserve"> </w:t>
      </w:r>
      <w:proofErr w:type="spellStart"/>
      <w:r w:rsidR="00443D35">
        <w:rPr>
          <w:b/>
        </w:rPr>
        <w:t>FinCrime</w:t>
      </w:r>
      <w:proofErr w:type="spellEnd"/>
      <w:r w:rsidR="00443D35">
        <w:rPr>
          <w:b/>
        </w:rPr>
        <w:t xml:space="preserve"> ma popularyzować wiedzę na temat </w:t>
      </w:r>
      <w:r w:rsidR="002117DC">
        <w:rPr>
          <w:b/>
        </w:rPr>
        <w:t xml:space="preserve">przeciwdziałania </w:t>
      </w:r>
      <w:r w:rsidR="00443D35">
        <w:rPr>
          <w:b/>
        </w:rPr>
        <w:t>nowoczesnej przestępczości finansowej</w:t>
      </w:r>
      <w:r>
        <w:rPr>
          <w:b/>
        </w:rPr>
        <w:t>,</w:t>
      </w:r>
      <w:r w:rsidR="00443D35">
        <w:rPr>
          <w:b/>
        </w:rPr>
        <w:t xml:space="preserve"> wychodząc naprzeciw nowym wymogom </w:t>
      </w:r>
      <w:r w:rsidR="002117DC">
        <w:rPr>
          <w:b/>
        </w:rPr>
        <w:t>legislacyjnym</w:t>
      </w:r>
      <w:r w:rsidR="00443D35">
        <w:rPr>
          <w:b/>
        </w:rPr>
        <w:t xml:space="preserve"> w Polsce</w:t>
      </w:r>
      <w:r>
        <w:rPr>
          <w:b/>
        </w:rPr>
        <w:t>.</w:t>
      </w:r>
    </w:p>
    <w:p w14:paraId="74AFA28E" w14:textId="6F75257A" w:rsidR="00991371" w:rsidRDefault="00304966">
      <w:pPr>
        <w:jc w:val="both"/>
      </w:pPr>
      <w:r>
        <w:br/>
      </w:r>
      <w:r w:rsidR="00443D35">
        <w:t>W maju tego roku Polska znowelizowała ustawę dot. V dyrektywy Unii Europejskiej, wprowadzając nowe rozporządzenia w zakresie monitorowania przestępczości finansowej. Nakładając obowiązek przeciwdziałania prania pieniędzy na nowe podmioty</w:t>
      </w:r>
      <w:r w:rsidR="004D03C0">
        <w:t>,</w:t>
      </w:r>
      <w:r w:rsidR="00443D35">
        <w:t xml:space="preserve"> powstała potrzeba uzupełnienia wiedzy w tym zakresie przez firmy, które mają się tym zajmować jak np. biura rachunkowe czy domy aukcyjne. Dlatego brytyjski bank </w:t>
      </w:r>
      <w:proofErr w:type="spellStart"/>
      <w:r w:rsidR="00443D35">
        <w:t>NatWest</w:t>
      </w:r>
      <w:proofErr w:type="spellEnd"/>
      <w:r w:rsidR="00443D35">
        <w:t xml:space="preserve">, który zatrudnia </w:t>
      </w:r>
      <w:r w:rsidR="004D03C0">
        <w:t xml:space="preserve">w Polsce </w:t>
      </w:r>
      <w:r w:rsidR="00443D35">
        <w:t xml:space="preserve">specjalistów w tym zakresie, organizuje wydarzenie online mające na celu popularyzację wiedzy na ten temat. </w:t>
      </w:r>
      <w:r w:rsidR="002117DC">
        <w:t>–</w:t>
      </w:r>
      <w:r w:rsidR="00443D35">
        <w:t xml:space="preserve"> Nas</w:t>
      </w:r>
      <w:r w:rsidR="002117DC">
        <w:t>z</w:t>
      </w:r>
      <w:r w:rsidR="0002046E">
        <w:t>e</w:t>
      </w:r>
      <w:r w:rsidR="002117DC">
        <w:t xml:space="preserve"> </w:t>
      </w:r>
      <w:r w:rsidR="00B566D5">
        <w:t>zespoły</w:t>
      </w:r>
      <w:r w:rsidR="00443D35">
        <w:t xml:space="preserve"> eksper</w:t>
      </w:r>
      <w:r w:rsidR="002117DC">
        <w:t>tów</w:t>
      </w:r>
      <w:r w:rsidR="00443D35">
        <w:t xml:space="preserve"> każdego dnia </w:t>
      </w:r>
      <w:r w:rsidR="00B566D5">
        <w:t>analizują</w:t>
      </w:r>
      <w:r w:rsidR="0002046E">
        <w:t xml:space="preserve"> ryzyko prania pieniędzy</w:t>
      </w:r>
      <w:r w:rsidR="00B566D5">
        <w:t xml:space="preserve">, </w:t>
      </w:r>
      <w:r w:rsidR="00443D35">
        <w:t>monitoruj</w:t>
      </w:r>
      <w:r>
        <w:t>ąc</w:t>
      </w:r>
      <w:r w:rsidR="00443D35">
        <w:t xml:space="preserve"> transakcje finansowe</w:t>
      </w:r>
      <w:r w:rsidR="004D03C0">
        <w:t xml:space="preserve">, </w:t>
      </w:r>
      <w:r w:rsidR="00443D35">
        <w:t xml:space="preserve">szacując potencjalne ryzyko wystąpienia przestępstw. Postanowiliśmy podzielić się tą wiedzą w sposób przystępny, zwłaszcza, że w Polsce to nowy i jeszcze nie eksploatowany temat, który dla wielu podmiotów stał się </w:t>
      </w:r>
      <w:r w:rsidR="002117DC">
        <w:t>dodatkowym</w:t>
      </w:r>
      <w:r w:rsidR="00443D35">
        <w:t xml:space="preserve"> obowiązkiem </w:t>
      </w:r>
      <w:r w:rsidR="00B566D5">
        <w:t>do spełnienia</w:t>
      </w:r>
      <w:r w:rsidR="00463114">
        <w:t xml:space="preserve"> </w:t>
      </w:r>
      <w:r w:rsidR="002117DC">
        <w:t>–</w:t>
      </w:r>
      <w:r w:rsidR="00443D35">
        <w:t xml:space="preserve"> mówi Bartosz </w:t>
      </w:r>
      <w:proofErr w:type="spellStart"/>
      <w:r w:rsidR="00443D35">
        <w:t>Michałkowski</w:t>
      </w:r>
      <w:proofErr w:type="spellEnd"/>
      <w:r w:rsidR="00443D35">
        <w:t xml:space="preserve">, </w:t>
      </w:r>
      <w:r w:rsidR="00B566D5">
        <w:t>Dyrektor Departamentu</w:t>
      </w:r>
      <w:r w:rsidR="00443D35">
        <w:t xml:space="preserve"> AML </w:t>
      </w:r>
      <w:r w:rsidR="00B566D5">
        <w:t>w</w:t>
      </w:r>
      <w:r w:rsidR="00443D35">
        <w:t xml:space="preserve"> </w:t>
      </w:r>
      <w:proofErr w:type="spellStart"/>
      <w:r w:rsidR="00443D35">
        <w:t>NatWest</w:t>
      </w:r>
      <w:proofErr w:type="spellEnd"/>
      <w:r w:rsidR="00443D35">
        <w:t xml:space="preserve"> </w:t>
      </w:r>
      <w:proofErr w:type="spellStart"/>
      <w:r w:rsidR="00463114">
        <w:t>Group</w:t>
      </w:r>
      <w:proofErr w:type="spellEnd"/>
      <w:r w:rsidR="00B566D5">
        <w:t xml:space="preserve"> </w:t>
      </w:r>
      <w:r w:rsidR="00443D35">
        <w:t xml:space="preserve">w Polsce. </w:t>
      </w:r>
    </w:p>
    <w:p w14:paraId="10FC0D56" w14:textId="5A6F0A29" w:rsidR="00991371" w:rsidRDefault="00443D3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W czwartek 25 listopada podczas jednego dnia poświęconego tematyce</w:t>
      </w:r>
      <w:r w:rsidR="004D03C0">
        <w:t xml:space="preserve"> przeciwdziałania</w:t>
      </w:r>
      <w:r>
        <w:t xml:space="preserve"> </w:t>
      </w:r>
      <w:r w:rsidR="002117DC">
        <w:t>prani</w:t>
      </w:r>
      <w:r w:rsidR="004D03C0">
        <w:t>u</w:t>
      </w:r>
      <w:r w:rsidR="002117DC">
        <w:t xml:space="preserve"> pieniędzy</w:t>
      </w:r>
      <w:r>
        <w:t xml:space="preserve"> odbędą się 4 </w:t>
      </w:r>
      <w:proofErr w:type="spellStart"/>
      <w:r>
        <w:t>webinary</w:t>
      </w:r>
      <w:proofErr w:type="spellEnd"/>
      <w:r>
        <w:t xml:space="preserve"> merytoryczne</w:t>
      </w:r>
      <w:r w:rsidR="004D03C0">
        <w:t xml:space="preserve"> w języku angielskim</w:t>
      </w:r>
      <w:r>
        <w:t xml:space="preserve"> </w:t>
      </w:r>
      <w:r w:rsidRPr="004D03C0">
        <w:t xml:space="preserve">(m.in. </w:t>
      </w:r>
      <w:r w:rsidR="004D03C0" w:rsidRPr="004D03C0">
        <w:t xml:space="preserve">o </w:t>
      </w:r>
      <w:r w:rsidRPr="004D03C0">
        <w:t xml:space="preserve">big data w monitorowaniu przestępców finansowych, </w:t>
      </w:r>
      <w:r w:rsidR="00FF6E38">
        <w:t xml:space="preserve">przeciwdziałanie praniu pieniędzy w obrocie i handlu walutami wirtualnymi, </w:t>
      </w:r>
      <w:r w:rsidR="004D03C0" w:rsidRPr="004D03C0">
        <w:t xml:space="preserve">globalnych </w:t>
      </w:r>
      <w:r w:rsidRPr="004D03C0">
        <w:t>trend</w:t>
      </w:r>
      <w:r w:rsidR="004D03C0" w:rsidRPr="004D03C0">
        <w:t>ach w</w:t>
      </w:r>
      <w:r w:rsidRPr="004D03C0">
        <w:t xml:space="preserve"> monitorowani</w:t>
      </w:r>
      <w:r w:rsidR="004D03C0" w:rsidRPr="004D03C0">
        <w:t>u</w:t>
      </w:r>
      <w:r w:rsidRPr="004D03C0">
        <w:t xml:space="preserve"> przestępczości</w:t>
      </w:r>
      <w:r w:rsidR="004D03C0" w:rsidRPr="004D03C0">
        <w:t xml:space="preserve"> oraz praktykach w polskich firmach</w:t>
      </w:r>
      <w:r w:rsidRPr="004D03C0">
        <w:t>)</w:t>
      </w:r>
      <w:r w:rsidR="00304966">
        <w:t xml:space="preserve"> oraz</w:t>
      </w:r>
      <w:r>
        <w:t xml:space="preserve"> 1 quiz zespołowy</w:t>
      </w:r>
      <w:r w:rsidR="00463114">
        <w:t>.</w:t>
      </w:r>
      <w:r>
        <w:t xml:space="preserve"> </w:t>
      </w:r>
      <w:r w:rsidR="00463114">
        <w:t>–</w:t>
      </w:r>
      <w:r>
        <w:t xml:space="preserve"> </w:t>
      </w:r>
      <w:r w:rsidR="00FF6E38">
        <w:t>Wymogi wynikające z ustawy o przeciwdziałaniu praniu pieniędzy dotykają coraz większ</w:t>
      </w:r>
      <w:r w:rsidR="00304966">
        <w:t>y</w:t>
      </w:r>
      <w:r w:rsidR="00FF6E38">
        <w:t xml:space="preserve"> </w:t>
      </w:r>
      <w:r w:rsidR="00304966">
        <w:t>obszar</w:t>
      </w:r>
      <w:r w:rsidR="00FF6E38">
        <w:t xml:space="preserve"> naszego życia.  Niezależnie czy robimy przelew, czy otwieramy konto maklerskie</w:t>
      </w:r>
      <w:r w:rsidR="00B41AEE">
        <w:t>,</w:t>
      </w:r>
      <w:r w:rsidR="00FF6E38">
        <w:t xml:space="preserve"> albo bierzmy udział w aukcji dziel sztuki. Każda z tych aktywność będzie wiązała się z dokonaniem czynności wynikających z </w:t>
      </w:r>
      <w:r w:rsidR="00463114">
        <w:t xml:space="preserve">nowelizacji </w:t>
      </w:r>
      <w:r w:rsidR="00FF6E38">
        <w:t xml:space="preserve">ustawy. Dlatego warto wiedzieć, dlaczego to robimy </w:t>
      </w:r>
      <w:r w:rsidR="00FB3D8F">
        <w:t>i czego możemy się spodziewać</w:t>
      </w:r>
      <w:r w:rsidR="00463114">
        <w:t xml:space="preserve"> – dodaje </w:t>
      </w:r>
      <w:proofErr w:type="spellStart"/>
      <w:r w:rsidR="00463114">
        <w:t>Michałkowski</w:t>
      </w:r>
      <w:proofErr w:type="spellEnd"/>
      <w:r w:rsidR="00463114">
        <w:t xml:space="preserve">. </w:t>
      </w:r>
    </w:p>
    <w:p w14:paraId="7B0D61BD" w14:textId="28AE9BA3" w:rsidR="00FF0A02" w:rsidRDefault="00FF0A02" w:rsidP="00FF0A02">
      <w:pPr>
        <w:jc w:val="both"/>
      </w:pPr>
      <w:proofErr w:type="spellStart"/>
      <w:r>
        <w:lastRenderedPageBreak/>
        <w:t>Keynote</w:t>
      </w:r>
      <w:proofErr w:type="spellEnd"/>
      <w:r>
        <w:t xml:space="preserve"> speakerem wydarzenia jest Tim Tyler, ekspert z wieloletnim doświadczeniem w zakresie przeciwdziałania praniu pieniędzy z ICA, jednej z wiodących firm na świecie, któr</w:t>
      </w:r>
      <w:r w:rsidR="004D03C0">
        <w:t>a</w:t>
      </w:r>
      <w:r>
        <w:t xml:space="preserve"> prowadz</w:t>
      </w:r>
      <w:r w:rsidR="004D03C0">
        <w:t>i</w:t>
      </w:r>
      <w:r>
        <w:t xml:space="preserve"> szkolenia w tym zakresie i certyfikuj</w:t>
      </w:r>
      <w:r w:rsidR="004D03C0">
        <w:t>e</w:t>
      </w:r>
      <w:r>
        <w:t xml:space="preserve"> organizacje, firmy i osoby indywidualne. Tyler </w:t>
      </w:r>
      <w:r w:rsidR="004D03C0">
        <w:t>o</w:t>
      </w:r>
      <w:r>
        <w:t>powie o tym, jak ten proceder wygląda globalnie</w:t>
      </w:r>
      <w:r w:rsidR="004D03C0">
        <w:t xml:space="preserve"> oraz określi własne prognozy w tym zakresie na najbliższe lata</w:t>
      </w:r>
      <w:r w:rsidR="00463114">
        <w:t>.</w:t>
      </w:r>
      <w:r>
        <w:t xml:space="preserve"> </w:t>
      </w:r>
    </w:p>
    <w:p w14:paraId="0370E989" w14:textId="350935D2" w:rsidR="002117DC" w:rsidRDefault="002117DC" w:rsidP="002117DC">
      <w:pPr>
        <w:jc w:val="both"/>
      </w:pPr>
      <w:r>
        <w:t xml:space="preserve">Pierwszy </w:t>
      </w:r>
      <w:proofErr w:type="spellStart"/>
      <w:r>
        <w:t>webinar</w:t>
      </w:r>
      <w:proofErr w:type="spellEnd"/>
      <w:r>
        <w:t xml:space="preserve"> poprowadzi doświadczony radca prawny Wojciech Kapica z kancelarii</w:t>
      </w:r>
      <w:r w:rsidR="007408BA">
        <w:t xml:space="preserve"> </w:t>
      </w:r>
      <w:proofErr w:type="spellStart"/>
      <w:r w:rsidR="007408BA">
        <w:t>Lawarton</w:t>
      </w:r>
      <w:proofErr w:type="spellEnd"/>
      <w:r>
        <w:t xml:space="preserve"> Ługowski i Wspólnicy. </w:t>
      </w:r>
      <w:r w:rsidR="004D03C0">
        <w:t>P</w:t>
      </w:r>
      <w:r>
        <w:t>rzedstawi podejście prawnicze do zagadnienia przestępczości finansowej od strony polskiej</w:t>
      </w:r>
      <w:r w:rsidR="004D03C0">
        <w:t xml:space="preserve"> legislacji</w:t>
      </w:r>
      <w:r>
        <w:t xml:space="preserve"> oraz zaprezentuje przykłady tego, jak w praktyce wdrażają monitoring przestępczości finansowej w swoich firmach.</w:t>
      </w:r>
    </w:p>
    <w:p w14:paraId="2B63ACB7" w14:textId="149BCED9" w:rsidR="002117DC" w:rsidRDefault="00FF0A0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Podczas pozostałych </w:t>
      </w:r>
      <w:proofErr w:type="spellStart"/>
      <w:r>
        <w:t>webinarów</w:t>
      </w:r>
      <w:proofErr w:type="spellEnd"/>
      <w:r>
        <w:t xml:space="preserve"> poruszone będą </w:t>
      </w:r>
      <w:r w:rsidR="00463114">
        <w:t xml:space="preserve">między innymi </w:t>
      </w:r>
      <w:r>
        <w:t xml:space="preserve">tematy </w:t>
      </w:r>
      <w:proofErr w:type="spellStart"/>
      <w:r>
        <w:t>kryptowalut</w:t>
      </w:r>
      <w:proofErr w:type="spellEnd"/>
      <w:r>
        <w:t xml:space="preserve"> </w:t>
      </w:r>
      <w:r w:rsidR="004D03C0">
        <w:t>(</w:t>
      </w:r>
      <w:r>
        <w:t xml:space="preserve">przez Magdalenę Korbut i Sebastiana </w:t>
      </w:r>
      <w:proofErr w:type="spellStart"/>
      <w:r>
        <w:t>Milewskigo</w:t>
      </w:r>
      <w:proofErr w:type="spellEnd"/>
      <w:r>
        <w:t xml:space="preserve"> z </w:t>
      </w:r>
      <w:proofErr w:type="spellStart"/>
      <w:r>
        <w:t>NatWest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w Polsce</w:t>
      </w:r>
      <w:r w:rsidR="004D03C0">
        <w:t>)</w:t>
      </w:r>
      <w:r>
        <w:t xml:space="preserve"> oraz analityki danych, sztucznej inteligencji i tego, jak może pomóc w </w:t>
      </w:r>
      <w:r w:rsidR="000A316B">
        <w:t xml:space="preserve">zwalczaniu przestępczości finansowej </w:t>
      </w:r>
      <w:r w:rsidR="004D03C0">
        <w:t>(</w:t>
      </w:r>
      <w:r w:rsidR="000A316B">
        <w:t xml:space="preserve">przez Tomasza </w:t>
      </w:r>
      <w:proofErr w:type="spellStart"/>
      <w:r w:rsidR="000A316B">
        <w:t>Granosika</w:t>
      </w:r>
      <w:proofErr w:type="spellEnd"/>
      <w:r w:rsidR="000A316B">
        <w:t xml:space="preserve"> i Arkadiusza </w:t>
      </w:r>
      <w:proofErr w:type="spellStart"/>
      <w:r w:rsidR="000A316B">
        <w:t>Bodysa</w:t>
      </w:r>
      <w:proofErr w:type="spellEnd"/>
      <w:r w:rsidR="000A316B">
        <w:t xml:space="preserve"> z NatWest Group w Polsce</w:t>
      </w:r>
      <w:r w:rsidR="004D03C0">
        <w:t>)</w:t>
      </w:r>
      <w:r w:rsidR="000A316B">
        <w:t xml:space="preserve">. </w:t>
      </w:r>
    </w:p>
    <w:p w14:paraId="7769A4C2" w14:textId="6966B92D" w:rsidR="000A316B" w:rsidRDefault="000A31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Na zakończenie odbędzie się panel dyskusyjny, </w:t>
      </w:r>
      <w:r w:rsidR="00463114">
        <w:t>a wśród nich</w:t>
      </w:r>
      <w:r>
        <w:t>: Emma Wong</w:t>
      </w:r>
      <w:r w:rsidR="00FE760B">
        <w:t xml:space="preserve">, </w:t>
      </w:r>
      <w:r w:rsidR="00463114">
        <w:t xml:space="preserve">James </w:t>
      </w:r>
      <w:proofErr w:type="spellStart"/>
      <w:r w:rsidR="00463114">
        <w:t>Holian</w:t>
      </w:r>
      <w:proofErr w:type="spellEnd"/>
      <w:r w:rsidR="00463114">
        <w:t xml:space="preserve">, </w:t>
      </w:r>
      <w:r w:rsidR="00FE760B">
        <w:t xml:space="preserve">Toby </w:t>
      </w:r>
      <w:proofErr w:type="spellStart"/>
      <w:r w:rsidR="00FE760B">
        <w:t>Gregson</w:t>
      </w:r>
      <w:proofErr w:type="spellEnd"/>
      <w:r>
        <w:t xml:space="preserve"> (</w:t>
      </w:r>
      <w:proofErr w:type="spellStart"/>
      <w:r>
        <w:t>NatWest</w:t>
      </w:r>
      <w:proofErr w:type="spellEnd"/>
      <w:r>
        <w:t xml:space="preserve"> </w:t>
      </w:r>
      <w:proofErr w:type="spellStart"/>
      <w:r>
        <w:t>Group</w:t>
      </w:r>
      <w:proofErr w:type="spellEnd"/>
      <w:r w:rsidR="004D03C0">
        <w:t xml:space="preserve"> </w:t>
      </w:r>
      <w:r>
        <w:t>w Wielkiej Brytanii</w:t>
      </w:r>
      <w:r w:rsidR="004D03C0">
        <w:t>)</w:t>
      </w:r>
      <w:r>
        <w:t xml:space="preserve"> i Andrzej Pacek (</w:t>
      </w:r>
      <w:proofErr w:type="spellStart"/>
      <w:r>
        <w:t>NatWest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w Polsce) postara</w:t>
      </w:r>
      <w:r w:rsidR="00463114">
        <w:t>ją</w:t>
      </w:r>
      <w:r>
        <w:t xml:space="preserve"> się odpowiedzieć na pytanie, czy sztuczna inteligencja jest alternatywną bronią w walce z przestępczością finansową, jak boty mogą wspierać zautomatyzowane procesy monitoringu i na ile możemy zawierzyć maszynom. </w:t>
      </w:r>
    </w:p>
    <w:p w14:paraId="30985783" w14:textId="198832C1" w:rsidR="00991371" w:rsidRDefault="00443D35">
      <w:pPr>
        <w:jc w:val="both"/>
      </w:pPr>
      <w:r>
        <w:t>Wydarzenie skierowane jest do nie tylko specjalistów AML, ale również osób zainteresowanych tematyką finansów, big data, analityki danych, cyberprzestępczości</w:t>
      </w:r>
      <w:r w:rsidR="002117DC">
        <w:t xml:space="preserve"> oraz studentów i studentek finans</w:t>
      </w:r>
      <w:r w:rsidR="007408BA">
        <w:t>ów</w:t>
      </w:r>
      <w:r w:rsidR="002117DC">
        <w:t>,</w:t>
      </w:r>
      <w:r w:rsidR="007408BA">
        <w:t xml:space="preserve"> prawa, filologii angielskiej, stosunków międzynarodowych,</w:t>
      </w:r>
      <w:r w:rsidR="002117DC">
        <w:t xml:space="preserve"> rachunkowości czy bankowości. </w:t>
      </w:r>
      <w:r>
        <w:t xml:space="preserve"> </w:t>
      </w:r>
    </w:p>
    <w:p w14:paraId="52C7AACC" w14:textId="34047922" w:rsidR="00991371" w:rsidRDefault="00443D35">
      <w:pPr>
        <w:jc w:val="both"/>
      </w:pPr>
      <w:r>
        <w:t xml:space="preserve">Wydarzenie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FinCrime</w:t>
      </w:r>
      <w:proofErr w:type="spellEnd"/>
      <w:r>
        <w:t xml:space="preserve"> zakłada cztery </w:t>
      </w:r>
      <w:proofErr w:type="spellStart"/>
      <w:r>
        <w:t>webinary</w:t>
      </w:r>
      <w:proofErr w:type="spellEnd"/>
      <w:r>
        <w:t xml:space="preserve"> merytoryczne oraz jeden quiz, który polega na zebraniu zespołów w wirtualnej przestrzeni, które staną przed wyzwaniem odpowiedzi na pytania dotyczące przeciwdziałania praniu pieniędzy. Celem quizu jest budowanie świadomości w zakresie przestępczości finansowej w sposób popularyzatorski i budujący społecznoś</w:t>
      </w:r>
      <w:r w:rsidR="00B41AEE">
        <w:t>ć</w:t>
      </w:r>
      <w:r>
        <w:t xml:space="preserve"> osób zainteresowanych tematem. Dodatkowym czynnikiem motywującym </w:t>
      </w:r>
      <w:r w:rsidR="00463114">
        <w:t>są</w:t>
      </w:r>
      <w:r>
        <w:t xml:space="preserve"> wygran</w:t>
      </w:r>
      <w:r w:rsidR="00463114">
        <w:t>e</w:t>
      </w:r>
      <w:r>
        <w:t xml:space="preserve"> w wysokości </w:t>
      </w:r>
      <w:r w:rsidR="00FE760B">
        <w:t>6000 złotych przez zwycięzców, 4000 złotych za drugie miejsce oraz 2000 złotych za trzecie miejsce</w:t>
      </w:r>
      <w:r>
        <w:t>, któr</w:t>
      </w:r>
      <w:r w:rsidR="00463114">
        <w:t>e</w:t>
      </w:r>
      <w:r>
        <w:t xml:space="preserve"> ma</w:t>
      </w:r>
      <w:r w:rsidR="00463114">
        <w:t>ją</w:t>
      </w:r>
      <w:r>
        <w:t xml:space="preserve"> być przekazan</w:t>
      </w:r>
      <w:r w:rsidR="00463114">
        <w:t>e n</w:t>
      </w:r>
      <w:r>
        <w:t>a rzecz jednej organizacji charytatywnej spośród trzech wybranych</w:t>
      </w:r>
      <w:r w:rsidR="00FE760B">
        <w:t>: Fundacja Mam Marzenie,</w:t>
      </w:r>
      <w:r w:rsidR="00463114">
        <w:t xml:space="preserve"> </w:t>
      </w:r>
      <w:r w:rsidR="00FE760B">
        <w:t>British Legion</w:t>
      </w:r>
      <w:r w:rsidR="00B41AEE">
        <w:t xml:space="preserve"> oraz</w:t>
      </w:r>
      <w:r w:rsidR="00FE760B">
        <w:t xml:space="preserve"> St</w:t>
      </w:r>
      <w:r w:rsidR="00463114">
        <w:t>.</w:t>
      </w:r>
      <w:r w:rsidR="00FE760B">
        <w:t xml:space="preserve"> </w:t>
      </w:r>
      <w:proofErr w:type="spellStart"/>
      <w:r w:rsidR="00FE760B">
        <w:t>Jude’s</w:t>
      </w:r>
      <w:proofErr w:type="spellEnd"/>
      <w:r w:rsidR="00FE760B">
        <w:t xml:space="preserve"> </w:t>
      </w:r>
      <w:proofErr w:type="spellStart"/>
      <w:r w:rsidR="00FE760B">
        <w:t>India</w:t>
      </w:r>
      <w:proofErr w:type="spellEnd"/>
      <w:r w:rsidR="00FE760B">
        <w:t xml:space="preserve"> </w:t>
      </w:r>
      <w:proofErr w:type="spellStart"/>
      <w:r w:rsidR="00FE760B">
        <w:t>Childcare</w:t>
      </w:r>
      <w:proofErr w:type="spellEnd"/>
      <w:r>
        <w:t xml:space="preserve">. Każdy zespół liczy do pięciu osób, który w krótkim czasie będzie omawiał, jak odpowiedzieć na uzyskane pytania. </w:t>
      </w:r>
      <w:r w:rsidR="004D03C0">
        <w:t xml:space="preserve">Rekrutacja do zespołów trwa do 20 października. </w:t>
      </w:r>
      <w:r>
        <w:t>Wygrywa ten zespół, który w najkrótszym możliwym czasie odpowie na jak najwięcej</w:t>
      </w:r>
      <w:r w:rsidR="00FE760B">
        <w:t xml:space="preserve"> poprawnych</w:t>
      </w:r>
      <w:r>
        <w:t xml:space="preserve"> pytań. </w:t>
      </w:r>
      <w:r w:rsidR="000A316B">
        <w:t xml:space="preserve">Więcej informacji oraz zapisy na stronie </w:t>
      </w:r>
      <w:hyperlink r:id="rId8" w:history="1">
        <w:r w:rsidR="000A316B" w:rsidRPr="00701D3D">
          <w:rPr>
            <w:rStyle w:val="Hipercze"/>
          </w:rPr>
          <w:t>www.fightfincrime.pl</w:t>
        </w:r>
      </w:hyperlink>
      <w:r w:rsidR="000A316B">
        <w:t xml:space="preserve"> oraz na Facebooku </w:t>
      </w:r>
      <w:r w:rsidR="000A316B" w:rsidRPr="000A316B">
        <w:t>@FightFinCrimeEvent</w:t>
      </w:r>
      <w:r w:rsidR="000A316B">
        <w:t xml:space="preserve">. </w:t>
      </w:r>
    </w:p>
    <w:p w14:paraId="2C10B311" w14:textId="4FA97979" w:rsidR="00991371" w:rsidRDefault="00443D3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NatWest Group to jeden z największych banków w Wielkiej Brytanii. W Polsce zatrudnia 1500 osób. Między innymi specjalistów od AML (przeciwdziałania praniu pieniędzy), finansów i analityki danych. Więcej informacji na stronie firmy jobs.natwestgroup.com</w:t>
      </w:r>
      <w:r w:rsidR="004D03C0">
        <w:t xml:space="preserve"> oraz</w:t>
      </w:r>
      <w:r>
        <w:t xml:space="preserve"> profil</w:t>
      </w:r>
      <w:r w:rsidR="004D03C0">
        <w:t xml:space="preserve">u </w:t>
      </w:r>
      <w:r>
        <w:t>społecznościowy</w:t>
      </w:r>
      <w:r w:rsidR="004D03C0">
        <w:t xml:space="preserve">m na </w:t>
      </w:r>
      <w:proofErr w:type="spellStart"/>
      <w:r w:rsidR="004D03C0">
        <w:t>LinkedIN</w:t>
      </w:r>
      <w:proofErr w:type="spellEnd"/>
      <w:r w:rsidR="004D03C0">
        <w:t xml:space="preserve">. </w:t>
      </w:r>
      <w:r>
        <w:t xml:space="preserve"> </w:t>
      </w:r>
    </w:p>
    <w:p w14:paraId="00E5DCDD" w14:textId="37497B25" w:rsidR="000A316B" w:rsidRPr="00FE760B" w:rsidRDefault="000A316B" w:rsidP="000A316B">
      <w:pPr>
        <w:jc w:val="both"/>
        <w:rPr>
          <w:u w:val="single"/>
          <w:lang w:val="en-GB"/>
        </w:rPr>
      </w:pPr>
      <w:r w:rsidRPr="00FE760B">
        <w:rPr>
          <w:u w:val="single"/>
          <w:lang w:val="en-GB"/>
        </w:rPr>
        <w:t xml:space="preserve">Program Fight </w:t>
      </w:r>
      <w:proofErr w:type="spellStart"/>
      <w:r w:rsidRPr="00FE760B">
        <w:rPr>
          <w:u w:val="single"/>
          <w:lang w:val="en-GB"/>
        </w:rPr>
        <w:t>FinCrime</w:t>
      </w:r>
      <w:proofErr w:type="spellEnd"/>
      <w:r w:rsidRPr="00FE760B">
        <w:rPr>
          <w:u w:val="single"/>
          <w:lang w:val="en-GB"/>
        </w:rPr>
        <w:t xml:space="preserve"> 25.11.2021 </w:t>
      </w:r>
      <w:proofErr w:type="spellStart"/>
      <w:r w:rsidRPr="00FE760B">
        <w:rPr>
          <w:u w:val="single"/>
          <w:lang w:val="en-GB"/>
        </w:rPr>
        <w:t>godz</w:t>
      </w:r>
      <w:proofErr w:type="spellEnd"/>
      <w:r w:rsidRPr="00FE760B">
        <w:rPr>
          <w:u w:val="single"/>
          <w:lang w:val="en-GB"/>
        </w:rPr>
        <w:t>. 10</w:t>
      </w:r>
      <w:r w:rsidR="00B41AEE">
        <w:rPr>
          <w:u w:val="single"/>
          <w:lang w:val="en-GB"/>
        </w:rPr>
        <w:t>.</w:t>
      </w:r>
      <w:r w:rsidR="00FE760B">
        <w:rPr>
          <w:u w:val="single"/>
          <w:lang w:val="en-GB"/>
        </w:rPr>
        <w:t>0</w:t>
      </w:r>
      <w:r w:rsidR="00B41AEE">
        <w:rPr>
          <w:u w:val="single"/>
          <w:lang w:val="en-GB"/>
        </w:rPr>
        <w:t>0</w:t>
      </w:r>
      <w:r w:rsidRPr="00FE760B">
        <w:rPr>
          <w:u w:val="single"/>
          <w:lang w:val="en-GB"/>
        </w:rPr>
        <w:t xml:space="preserve"> – 18</w:t>
      </w:r>
      <w:r w:rsidR="00B41AEE">
        <w:rPr>
          <w:u w:val="single"/>
          <w:lang w:val="en-GB"/>
        </w:rPr>
        <w:t>.</w:t>
      </w:r>
      <w:r w:rsidRPr="00FE760B">
        <w:rPr>
          <w:u w:val="single"/>
          <w:lang w:val="en-GB"/>
        </w:rPr>
        <w:t>00</w:t>
      </w:r>
    </w:p>
    <w:p w14:paraId="5233C51A" w14:textId="77777777" w:rsidR="000A316B" w:rsidRPr="00FE760B" w:rsidRDefault="000A316B" w:rsidP="000A316B">
      <w:pPr>
        <w:jc w:val="both"/>
        <w:rPr>
          <w:lang w:val="en-GB"/>
        </w:rPr>
      </w:pPr>
      <w:r w:rsidRPr="00FE760B">
        <w:rPr>
          <w:b/>
          <w:bCs/>
          <w:lang w:val="en-GB"/>
        </w:rPr>
        <w:t xml:space="preserve">10.00 </w:t>
      </w:r>
      <w:r w:rsidRPr="00FE760B">
        <w:rPr>
          <w:lang w:val="en-GB"/>
        </w:rPr>
        <w:t xml:space="preserve">Wojciech </w:t>
      </w:r>
      <w:proofErr w:type="spellStart"/>
      <w:r w:rsidRPr="00FE760B">
        <w:rPr>
          <w:lang w:val="en-GB"/>
        </w:rPr>
        <w:t>Kapica</w:t>
      </w:r>
      <w:proofErr w:type="spellEnd"/>
      <w:r w:rsidRPr="00FE760B">
        <w:rPr>
          <w:lang w:val="en-GB"/>
        </w:rPr>
        <w:t xml:space="preserve"> (</w:t>
      </w:r>
      <w:proofErr w:type="spellStart"/>
      <w:r w:rsidRPr="00FE760B">
        <w:rPr>
          <w:lang w:val="en-GB"/>
        </w:rPr>
        <w:t>Lawarton</w:t>
      </w:r>
      <w:proofErr w:type="spellEnd"/>
      <w:r w:rsidRPr="00FE760B">
        <w:rPr>
          <w:lang w:val="en-GB"/>
        </w:rPr>
        <w:t xml:space="preserve"> </w:t>
      </w:r>
      <w:proofErr w:type="spellStart"/>
      <w:r w:rsidRPr="00FE760B">
        <w:rPr>
          <w:lang w:val="en-GB"/>
        </w:rPr>
        <w:t>Ługowski</w:t>
      </w:r>
      <w:proofErr w:type="spellEnd"/>
      <w:r w:rsidRPr="00FE760B">
        <w:rPr>
          <w:lang w:val="en-GB"/>
        </w:rPr>
        <w:t xml:space="preserve"> </w:t>
      </w:r>
      <w:proofErr w:type="spellStart"/>
      <w:r w:rsidRPr="00FE760B">
        <w:rPr>
          <w:lang w:val="en-GB"/>
        </w:rPr>
        <w:t>i</w:t>
      </w:r>
      <w:proofErr w:type="spellEnd"/>
      <w:r w:rsidRPr="00FE760B">
        <w:rPr>
          <w:lang w:val="en-GB"/>
        </w:rPr>
        <w:t xml:space="preserve"> </w:t>
      </w:r>
      <w:proofErr w:type="spellStart"/>
      <w:r w:rsidRPr="00FE760B">
        <w:rPr>
          <w:lang w:val="en-GB"/>
        </w:rPr>
        <w:t>Wspólnicy</w:t>
      </w:r>
      <w:proofErr w:type="spellEnd"/>
      <w:r w:rsidRPr="00FE760B">
        <w:rPr>
          <w:lang w:val="en-GB"/>
        </w:rPr>
        <w:t xml:space="preserve">):  AML/Countering Financing of </w:t>
      </w:r>
      <w:proofErr w:type="spellStart"/>
      <w:r w:rsidRPr="00FE760B">
        <w:rPr>
          <w:lang w:val="en-GB"/>
        </w:rPr>
        <w:t>Terrosism</w:t>
      </w:r>
      <w:proofErr w:type="spellEnd"/>
      <w:r w:rsidRPr="00FE760B">
        <w:rPr>
          <w:lang w:val="en-GB"/>
        </w:rPr>
        <w:t xml:space="preserve"> in Poland: summary of recent supervisory authorities’ on-site visits</w:t>
      </w:r>
    </w:p>
    <w:p w14:paraId="271D4C5A" w14:textId="6E53FF8F" w:rsidR="000A316B" w:rsidRPr="00FE760B" w:rsidRDefault="000A316B" w:rsidP="000A316B">
      <w:pPr>
        <w:jc w:val="both"/>
        <w:rPr>
          <w:lang w:val="en-GB"/>
        </w:rPr>
      </w:pPr>
      <w:r w:rsidRPr="00FE760B">
        <w:rPr>
          <w:b/>
          <w:bCs/>
          <w:lang w:val="en-GB"/>
        </w:rPr>
        <w:lastRenderedPageBreak/>
        <w:t xml:space="preserve">11.30 </w:t>
      </w:r>
      <w:r w:rsidRPr="00FE760B">
        <w:rPr>
          <w:lang w:val="en-GB"/>
        </w:rPr>
        <w:t xml:space="preserve">Magdalena Korbut, Sebastian </w:t>
      </w:r>
      <w:proofErr w:type="spellStart"/>
      <w:r w:rsidRPr="00FE760B">
        <w:rPr>
          <w:lang w:val="en-GB"/>
        </w:rPr>
        <w:t>Milewski</w:t>
      </w:r>
      <w:proofErr w:type="spellEnd"/>
      <w:r w:rsidRPr="00FE760B">
        <w:rPr>
          <w:lang w:val="en-GB"/>
        </w:rPr>
        <w:t xml:space="preserve"> (NatWest </w:t>
      </w:r>
      <w:r w:rsidR="00B41AEE">
        <w:rPr>
          <w:lang w:val="en-GB"/>
        </w:rPr>
        <w:t xml:space="preserve">Group w </w:t>
      </w:r>
      <w:proofErr w:type="spellStart"/>
      <w:r w:rsidR="00B41AEE">
        <w:rPr>
          <w:lang w:val="en-GB"/>
        </w:rPr>
        <w:t>Polsce</w:t>
      </w:r>
      <w:proofErr w:type="spellEnd"/>
      <w:r w:rsidRPr="00FE760B">
        <w:rPr>
          <w:lang w:val="en-GB"/>
        </w:rPr>
        <w:t xml:space="preserve">): </w:t>
      </w:r>
      <w:proofErr w:type="spellStart"/>
      <w:r w:rsidRPr="00FE760B">
        <w:rPr>
          <w:lang w:val="en-GB"/>
        </w:rPr>
        <w:t>Cryptoassets</w:t>
      </w:r>
      <w:proofErr w:type="spellEnd"/>
      <w:r w:rsidRPr="00FE760B">
        <w:rPr>
          <w:lang w:val="en-GB"/>
        </w:rPr>
        <w:t xml:space="preserve">: approach across jurisdictions - new CDD challenges </w:t>
      </w:r>
    </w:p>
    <w:p w14:paraId="2A06E905" w14:textId="1EE18157" w:rsidR="000A316B" w:rsidRPr="00FE760B" w:rsidRDefault="000A316B" w:rsidP="000A316B">
      <w:pPr>
        <w:jc w:val="both"/>
        <w:rPr>
          <w:lang w:val="en-GB"/>
        </w:rPr>
      </w:pPr>
      <w:r w:rsidRPr="00FE760B">
        <w:rPr>
          <w:b/>
          <w:bCs/>
          <w:lang w:val="en-GB"/>
        </w:rPr>
        <w:t xml:space="preserve">13.00 </w:t>
      </w:r>
      <w:r w:rsidRPr="00FE760B">
        <w:rPr>
          <w:lang w:val="en-GB"/>
        </w:rPr>
        <w:t xml:space="preserve">Tim Tyler (ICA): Global AML Policy </w:t>
      </w:r>
      <w:r w:rsidR="00B41AEE">
        <w:rPr>
          <w:lang w:val="en-GB"/>
        </w:rPr>
        <w:t>–</w:t>
      </w:r>
      <w:r w:rsidRPr="00FE760B">
        <w:rPr>
          <w:lang w:val="en-GB"/>
        </w:rPr>
        <w:t xml:space="preserve"> Stick or Twist?</w:t>
      </w:r>
    </w:p>
    <w:p w14:paraId="662633DD" w14:textId="77777777" w:rsidR="000A316B" w:rsidRPr="00FE760B" w:rsidRDefault="000A316B" w:rsidP="000A316B">
      <w:pPr>
        <w:jc w:val="both"/>
        <w:rPr>
          <w:lang w:val="en-GB"/>
        </w:rPr>
      </w:pPr>
      <w:r w:rsidRPr="00FE760B">
        <w:rPr>
          <w:b/>
          <w:bCs/>
          <w:lang w:val="en-GB"/>
        </w:rPr>
        <w:t>14.00</w:t>
      </w:r>
      <w:r w:rsidRPr="00FE760B">
        <w:rPr>
          <w:lang w:val="en-GB"/>
        </w:rPr>
        <w:t xml:space="preserve"> Tomasz Granosik, Arkadiusz Bodys (NatWest Group w </w:t>
      </w:r>
      <w:proofErr w:type="spellStart"/>
      <w:r w:rsidRPr="00FE760B">
        <w:rPr>
          <w:lang w:val="en-GB"/>
        </w:rPr>
        <w:t>Polsce</w:t>
      </w:r>
      <w:proofErr w:type="spellEnd"/>
      <w:r w:rsidRPr="00FE760B">
        <w:rPr>
          <w:lang w:val="en-GB"/>
        </w:rPr>
        <w:t>): AI and Data against Financial Crime</w:t>
      </w:r>
    </w:p>
    <w:p w14:paraId="62A09753" w14:textId="77777777" w:rsidR="000A316B" w:rsidRPr="00FE760B" w:rsidRDefault="000A316B" w:rsidP="000A316B">
      <w:pPr>
        <w:jc w:val="both"/>
        <w:rPr>
          <w:lang w:val="en-GB"/>
        </w:rPr>
      </w:pPr>
      <w:r w:rsidRPr="00FE760B">
        <w:rPr>
          <w:b/>
          <w:bCs/>
          <w:lang w:val="en-GB"/>
        </w:rPr>
        <w:t>14.20</w:t>
      </w:r>
      <w:r w:rsidRPr="00FE760B">
        <w:rPr>
          <w:lang w:val="en-GB"/>
        </w:rPr>
        <w:t xml:space="preserve"> Panel </w:t>
      </w:r>
      <w:proofErr w:type="spellStart"/>
      <w:r w:rsidRPr="00FE760B">
        <w:rPr>
          <w:lang w:val="en-GB"/>
        </w:rPr>
        <w:t>Dyskusyjny</w:t>
      </w:r>
      <w:proofErr w:type="spellEnd"/>
      <w:r w:rsidRPr="00FE760B">
        <w:rPr>
          <w:lang w:val="en-GB"/>
        </w:rPr>
        <w:t>: Is AI the ultimate weapon to combat Financial Crime?</w:t>
      </w:r>
    </w:p>
    <w:p w14:paraId="45DA3686" w14:textId="35A0461A" w:rsidR="000A316B" w:rsidRDefault="000A316B" w:rsidP="000A316B">
      <w:pPr>
        <w:jc w:val="both"/>
      </w:pPr>
      <w:r>
        <w:t>Emma Wong (NatWest Group w Wielkiej Brytanii)</w:t>
      </w:r>
    </w:p>
    <w:p w14:paraId="60AE2497" w14:textId="31F11B49" w:rsidR="00FE760B" w:rsidRPr="00FE760B" w:rsidRDefault="00FE760B" w:rsidP="000A316B">
      <w:pPr>
        <w:jc w:val="both"/>
      </w:pPr>
      <w:r w:rsidRPr="00FE760B">
        <w:t>Toby Gregson (NatWest Group w</w:t>
      </w:r>
      <w:r w:rsidRPr="00463114">
        <w:t xml:space="preserve"> Wielki</w:t>
      </w:r>
      <w:r>
        <w:t>ej Brytanii)</w:t>
      </w:r>
    </w:p>
    <w:p w14:paraId="5F6A97AE" w14:textId="1749E8B9" w:rsidR="000A316B" w:rsidRDefault="000A316B" w:rsidP="000A316B">
      <w:pPr>
        <w:jc w:val="both"/>
      </w:pPr>
      <w:r>
        <w:t xml:space="preserve">Andrzej Pacek (NatWest Group w Polsce) </w:t>
      </w:r>
    </w:p>
    <w:p w14:paraId="0971B403" w14:textId="4ACA1D7B" w:rsidR="000A316B" w:rsidRDefault="000A316B" w:rsidP="000A316B">
      <w:pPr>
        <w:jc w:val="both"/>
      </w:pPr>
      <w:r w:rsidRPr="000A316B">
        <w:rPr>
          <w:b/>
          <w:bCs/>
        </w:rPr>
        <w:t>16.00</w:t>
      </w:r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FinCrime</w:t>
      </w:r>
      <w:proofErr w:type="spellEnd"/>
      <w:r>
        <w:t xml:space="preserve"> Quiz</w:t>
      </w:r>
    </w:p>
    <w:p w14:paraId="6143CB94" w14:textId="5B99792B" w:rsidR="000A316B" w:rsidRDefault="000A316B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</w:p>
    <w:p w14:paraId="17B26706" w14:textId="77777777" w:rsidR="00991371" w:rsidRDefault="00443D35">
      <w:pPr>
        <w:jc w:val="both"/>
      </w:pPr>
      <w:r>
        <w:t>***</w:t>
      </w:r>
    </w:p>
    <w:p w14:paraId="32270E79" w14:textId="77777777" w:rsidR="00991371" w:rsidRDefault="00443D35">
      <w:pPr>
        <w:rPr>
          <w:i/>
          <w:sz w:val="20"/>
          <w:szCs w:val="20"/>
        </w:rPr>
      </w:pPr>
      <w:r>
        <w:rPr>
          <w:i/>
          <w:sz w:val="20"/>
          <w:szCs w:val="20"/>
        </w:rPr>
        <w:t>Kontakt dla mediów:</w:t>
      </w:r>
      <w:r>
        <w:rPr>
          <w:i/>
          <w:sz w:val="20"/>
          <w:szCs w:val="20"/>
        </w:rPr>
        <w:br/>
        <w:t>Anna Kiedrzyńska-Tui</w:t>
      </w:r>
      <w:r>
        <w:rPr>
          <w:i/>
          <w:sz w:val="20"/>
          <w:szCs w:val="20"/>
        </w:rPr>
        <w:br/>
      </w:r>
      <w:hyperlink r:id="rId9">
        <w:r>
          <w:rPr>
            <w:i/>
            <w:color w:val="0000FF"/>
            <w:sz w:val="20"/>
            <w:szCs w:val="20"/>
            <w:u w:val="single"/>
          </w:rPr>
          <w:t>anna.kiedrzynska@propsypr.pl</w:t>
        </w:r>
      </w:hyperlink>
      <w:r>
        <w:rPr>
          <w:i/>
          <w:sz w:val="20"/>
          <w:szCs w:val="20"/>
        </w:rPr>
        <w:br/>
        <w:t>kom.: 508 107 171</w:t>
      </w:r>
    </w:p>
    <w:p w14:paraId="1F6301C4" w14:textId="77777777" w:rsidR="00991371" w:rsidRDefault="00443D35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National</w:t>
      </w:r>
      <w:proofErr w:type="spellEnd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Westminster Bank </w:t>
      </w:r>
      <w:proofErr w:type="spellStart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Plc</w:t>
      </w:r>
      <w:proofErr w:type="spellEnd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z siedzib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w Londynie, 250 </w:t>
      </w:r>
      <w:proofErr w:type="spellStart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Bishopsgate</w:t>
      </w:r>
      <w:proofErr w:type="spellEnd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, Londyn EC2M 4AA, Wielka Brytania, zarejestrowanym w Anglii i Walii pod numerem 929027, prowadz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cym dzia</w:t>
      </w:r>
      <w:r>
        <w:rPr>
          <w:rFonts w:ascii="Arial" w:eastAsia="Arial" w:hAnsi="Arial" w:cs="Arial"/>
          <w:color w:val="000000"/>
          <w:sz w:val="20"/>
          <w:szCs w:val="20"/>
        </w:rPr>
        <w:t>ł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alno</w:t>
      </w:r>
      <w:r>
        <w:rPr>
          <w:rFonts w:ascii="Arial" w:eastAsia="Arial" w:hAnsi="Arial" w:cs="Arial"/>
          <w:color w:val="000000"/>
          <w:sz w:val="20"/>
          <w:szCs w:val="20"/>
        </w:rPr>
        <w:t>ść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w Polsce poprzez oddzia</w:t>
      </w:r>
      <w:r>
        <w:rPr>
          <w:rFonts w:ascii="Arial" w:eastAsia="Arial" w:hAnsi="Arial" w:cs="Arial"/>
          <w:color w:val="000000"/>
          <w:sz w:val="20"/>
          <w:szCs w:val="20"/>
        </w:rPr>
        <w:t>ł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</w:t>
      </w:r>
      <w:proofErr w:type="spellStart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National</w:t>
      </w:r>
      <w:proofErr w:type="spellEnd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Westminster Bank </w:t>
      </w:r>
      <w:proofErr w:type="spellStart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Plc</w:t>
      </w:r>
      <w:proofErr w:type="spellEnd"/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Spó</w:t>
      </w:r>
      <w:r>
        <w:rPr>
          <w:rFonts w:ascii="Arial" w:eastAsia="Arial" w:hAnsi="Arial" w:cs="Arial"/>
          <w:color w:val="000000"/>
          <w:sz w:val="20"/>
          <w:szCs w:val="20"/>
        </w:rPr>
        <w:t>ł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ka Akcyjna Oddzia</w:t>
      </w:r>
      <w:r>
        <w:rPr>
          <w:rFonts w:ascii="Arial" w:eastAsia="Arial" w:hAnsi="Arial" w:cs="Arial"/>
          <w:color w:val="000000"/>
          <w:sz w:val="20"/>
          <w:szCs w:val="20"/>
        </w:rPr>
        <w:t>ł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w Polsce z siedzib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w Warszawie, adres: ul. 1 Sierpnia 8A, 02-134, Warszawa, wpisany do rejestru przedsi</w:t>
      </w:r>
      <w:r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biorców Krajowego Rejestru S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dowego prowadzonego przez S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>d Rejonowy dla m.st. Warszawy w Warszawie, XIII Wydzia</w:t>
      </w:r>
      <w:r>
        <w:rPr>
          <w:rFonts w:ascii="Arial" w:eastAsia="Arial" w:hAnsi="Arial" w:cs="Arial"/>
          <w:color w:val="000000"/>
          <w:sz w:val="20"/>
          <w:szCs w:val="20"/>
        </w:rPr>
        <w:t>ł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 Gospodarczy Krajowego Rejestru S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RN House Sans Regular" w:eastAsia="RN House Sans Regular" w:hAnsi="RN House Sans Regular" w:cs="RN House Sans Regular"/>
          <w:color w:val="000000"/>
          <w:sz w:val="20"/>
          <w:szCs w:val="20"/>
        </w:rPr>
        <w:t xml:space="preserve">dowego, pod numerem KRS: 0000677815,  NIP: 1070038385  </w:t>
      </w:r>
    </w:p>
    <w:p w14:paraId="34476C75" w14:textId="77777777" w:rsidR="00991371" w:rsidRDefault="00991371">
      <w:pPr>
        <w:jc w:val="both"/>
      </w:pPr>
    </w:p>
    <w:sectPr w:rsidR="00991371">
      <w:headerReference w:type="default" r:id="rId10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EDB1" w14:textId="77777777" w:rsidR="001C4AEB" w:rsidRDefault="001C4AEB">
      <w:pPr>
        <w:spacing w:after="0" w:line="240" w:lineRule="auto"/>
      </w:pPr>
      <w:r>
        <w:separator/>
      </w:r>
    </w:p>
  </w:endnote>
  <w:endnote w:type="continuationSeparator" w:id="0">
    <w:p w14:paraId="2A1D8F3E" w14:textId="77777777" w:rsidR="001C4AEB" w:rsidRDefault="001C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N House Sans Regular">
    <w:altName w:val="Calibri"/>
    <w:charset w:val="00"/>
    <w:family w:val="swiss"/>
    <w:pitch w:val="variable"/>
    <w:sig w:usb0="A0000003" w:usb1="00000002" w:usb2="00000000" w:usb3="00000000" w:csb0="000001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B1C9" w14:textId="77777777" w:rsidR="001C4AEB" w:rsidRDefault="001C4AEB">
      <w:pPr>
        <w:spacing w:after="0" w:line="240" w:lineRule="auto"/>
      </w:pPr>
      <w:r>
        <w:separator/>
      </w:r>
    </w:p>
  </w:footnote>
  <w:footnote w:type="continuationSeparator" w:id="0">
    <w:p w14:paraId="76A938F7" w14:textId="77777777" w:rsidR="001C4AEB" w:rsidRDefault="001C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D431" w14:textId="77777777" w:rsidR="00991371" w:rsidRDefault="00443D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AB1EE42" wp14:editId="170E5EFA">
          <wp:extent cx="1190405" cy="127468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405" cy="1274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06A00"/>
    <w:multiLevelType w:val="multilevel"/>
    <w:tmpl w:val="B08EB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71"/>
    <w:rsid w:val="0002046E"/>
    <w:rsid w:val="000A316B"/>
    <w:rsid w:val="001C4AEB"/>
    <w:rsid w:val="002117DC"/>
    <w:rsid w:val="002F6C93"/>
    <w:rsid w:val="00304966"/>
    <w:rsid w:val="00443D35"/>
    <w:rsid w:val="00463114"/>
    <w:rsid w:val="004D03C0"/>
    <w:rsid w:val="007408BA"/>
    <w:rsid w:val="00991371"/>
    <w:rsid w:val="00B41AEE"/>
    <w:rsid w:val="00B566D5"/>
    <w:rsid w:val="00D36E5E"/>
    <w:rsid w:val="00DB49B4"/>
    <w:rsid w:val="00E744D1"/>
    <w:rsid w:val="00FB3D8F"/>
    <w:rsid w:val="00FE760B"/>
    <w:rsid w:val="00FF0A0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A9DD"/>
  <w15:docId w15:val="{1ABEBC04-1646-4B0C-A75C-0EBADDD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2B1"/>
  </w:style>
  <w:style w:type="paragraph" w:styleId="Stopka">
    <w:name w:val="footer"/>
    <w:basedOn w:val="Normalny"/>
    <w:link w:val="StopkaZnak"/>
    <w:uiPriority w:val="99"/>
    <w:unhideWhenUsed/>
    <w:rsid w:val="0006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2B1"/>
  </w:style>
  <w:style w:type="paragraph" w:styleId="Tekstdymka">
    <w:name w:val="Balloon Text"/>
    <w:basedOn w:val="Normalny"/>
    <w:link w:val="TekstdymkaZnak"/>
    <w:uiPriority w:val="99"/>
    <w:semiHidden/>
    <w:unhideWhenUsed/>
    <w:rsid w:val="0006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4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4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A1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6C7F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C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fincri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kiedrzynska@propsy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hP1VmxU5RdLcT0aq7Q1Jd7CqA==">AMUW2mXmWXPwipj4nGJqGZZ8ruA/hAQ86ggt5gFG5oPs1k6EqYOOKLacsG8MpTNRYGJK7/IHzW6bwmj72c2Y6vKp1moleFchcZkl3Ff/rTVt2wxh3ovZwY4=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Bryk</dc:creator>
  <cp:lastModifiedBy>Anna Kiedrzyńska-Tui</cp:lastModifiedBy>
  <cp:revision>3</cp:revision>
  <dcterms:created xsi:type="dcterms:W3CDTF">2021-11-17T14:02:00Z</dcterms:created>
  <dcterms:modified xsi:type="dcterms:W3CDTF">2021-11-18T09:45:00Z</dcterms:modified>
</cp:coreProperties>
</file>